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581142">
      <w:pPr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附件1</w:t>
      </w:r>
    </w:p>
    <w:p w14:paraId="7731D565">
      <w:pPr>
        <w:spacing w:line="52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val="en-US" w:eastAsia="zh-CN"/>
        </w:rPr>
        <w:t>公开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eastAsia="zh-CN"/>
        </w:rPr>
        <w:t>询价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val="en-US" w:eastAsia="zh-CN"/>
        </w:rPr>
        <w:t>招标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  <w:t>劳务派遣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eastAsia="zh-CN"/>
        </w:rPr>
        <w:t>（外包）服务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  <w:t>项目</w:t>
      </w:r>
    </w:p>
    <w:p w14:paraId="6C91306E">
      <w:pPr>
        <w:spacing w:line="52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  <w:t>评分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eastAsia="zh-CN"/>
        </w:rPr>
        <w:t>细则</w:t>
      </w:r>
    </w:p>
    <w:bookmarkEnd w:id="0"/>
    <w:p w14:paraId="5CB91E46">
      <w:pPr>
        <w:spacing w:line="120" w:lineRule="exact"/>
        <w:jc w:val="center"/>
        <w:rPr>
          <w:rFonts w:ascii="方正仿宋_GB2312" w:hAnsi="仿宋" w:eastAsia="方正仿宋_GB2312"/>
          <w:b/>
          <w:color w:val="auto"/>
          <w:sz w:val="32"/>
          <w:szCs w:val="32"/>
        </w:rPr>
      </w:pPr>
    </w:p>
    <w:tbl>
      <w:tblPr>
        <w:tblStyle w:val="2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1"/>
        <w:gridCol w:w="1342"/>
        <w:gridCol w:w="6372"/>
        <w:gridCol w:w="956"/>
      </w:tblGrid>
      <w:tr w14:paraId="5487B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trHeight w:val="90" w:hRule="atLeast"/>
          <w:jc w:val="center"/>
        </w:trPr>
        <w:tc>
          <w:tcPr>
            <w:tcW w:w="2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D1FD0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 w:cs="宋体"/>
                <w:b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</w:rPr>
              <w:t>序号</w:t>
            </w:r>
          </w:p>
        </w:tc>
        <w:tc>
          <w:tcPr>
            <w:tcW w:w="7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263C3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 w:cs="宋体"/>
                <w:b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</w:rPr>
              <w:t>评审内容</w:t>
            </w:r>
          </w:p>
        </w:tc>
        <w:tc>
          <w:tcPr>
            <w:tcW w:w="35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EC550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 w:cs="宋体"/>
                <w:b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</w:rPr>
              <w:t>评分标准</w:t>
            </w:r>
          </w:p>
        </w:tc>
        <w:tc>
          <w:tcPr>
            <w:tcW w:w="5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4CA92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 w:cs="宋体"/>
                <w:b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</w:rPr>
              <w:t>得分</w:t>
            </w:r>
          </w:p>
        </w:tc>
      </w:tr>
      <w:tr w14:paraId="229F4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10F1C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7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65701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 w:cs="宋体"/>
                <w:b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</w:rPr>
              <w:t>价格项</w:t>
            </w:r>
          </w:p>
          <w:p w14:paraId="3DCA15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</w:rPr>
              <w:t>（20分）</w:t>
            </w:r>
          </w:p>
        </w:tc>
        <w:tc>
          <w:tcPr>
            <w:tcW w:w="35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64BDC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ascii="宋体" w:hAnsi="宋体" w:cs="宋体"/>
                <w:bCs/>
                <w:color w:val="auto"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</w:rPr>
              <w:t>报价得分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</w:rPr>
              <w:t>=（评标基准价／投标报价）×价格权重×100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US" w:eastAsia="zh-CN"/>
              </w:rPr>
              <w:t>%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</w:rPr>
              <w:t>评标基准价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eastAsia="zh-CN"/>
              </w:rPr>
              <w:t>为最低报价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lang w:eastAsia="zh-CN"/>
              </w:rPr>
              <w:t>）。</w:t>
            </w:r>
          </w:p>
          <w:p w14:paraId="5D452D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>投标人只针对每人每月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color w:val="auto"/>
                <w:sz w:val="20"/>
                <w:szCs w:val="20"/>
              </w:rPr>
              <w:t>劳务派遣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color w:val="auto"/>
                <w:sz w:val="20"/>
                <w:szCs w:val="20"/>
                <w:lang w:eastAsia="zh-CN"/>
              </w:rPr>
              <w:t>的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>管理费单价进行报价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>）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5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61A00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</w:rPr>
              <w:t>20</w:t>
            </w:r>
          </w:p>
        </w:tc>
      </w:tr>
      <w:tr w14:paraId="15CD40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1" w:hRule="atLeast"/>
          <w:jc w:val="center"/>
        </w:trPr>
        <w:tc>
          <w:tcPr>
            <w:tcW w:w="215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8F00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  <w:lang w:val="en-US" w:eastAsia="zh-CN"/>
              </w:rPr>
              <w:t>2</w:t>
            </w:r>
          </w:p>
        </w:tc>
        <w:tc>
          <w:tcPr>
            <w:tcW w:w="74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E88D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 w:cs="宋体"/>
                <w:b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</w:rPr>
              <w:t>技术项</w:t>
            </w:r>
          </w:p>
          <w:p w14:paraId="675500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 w:cs="宋体"/>
                <w:b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</w:rPr>
              <w:t>（45分）</w:t>
            </w:r>
          </w:p>
        </w:tc>
        <w:tc>
          <w:tcPr>
            <w:tcW w:w="35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780D801A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ascii="宋体" w:hAnsi="宋体"/>
                <w:b/>
                <w:bCs/>
                <w:color w:val="auto"/>
                <w:szCs w:val="21"/>
                <w:lang w:val="en-GB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  <w:lang w:val="en-GB"/>
              </w:rPr>
              <w:t>人员招聘与更换：</w:t>
            </w:r>
          </w:p>
          <w:p w14:paraId="79C859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0"/>
                <w:szCs w:val="21"/>
                <w:lang w:val="en-GB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lang w:val="en-GB" w:eastAsia="zh-CN" w:bidi="ar-SA"/>
              </w:rPr>
              <w:t>①</w:t>
            </w: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/>
              </w:rPr>
              <w:t>人员招聘渠道及储备能否及时满足采购方需求，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 w:eastAsia="zh-CN"/>
              </w:rPr>
              <w:t>服务机构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/>
              </w:rPr>
              <w:t>拥有自营网络招聘平台得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</w:rPr>
              <w:t>5分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 w:eastAsia="zh-CN"/>
              </w:rPr>
              <w:t>（提供网站截图，未提供不得分）；</w:t>
            </w:r>
          </w:p>
          <w:p w14:paraId="36946F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ascii="宋体" w:hAnsi="宋体"/>
                <w:b/>
                <w:bCs/>
                <w:color w:val="auto"/>
                <w:szCs w:val="21"/>
                <w:lang w:val="en-GB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lang w:val="en-GB" w:eastAsia="zh-CN" w:bidi="ar-SA"/>
              </w:rPr>
              <w:t>②</w:t>
            </w: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/>
              </w:rPr>
              <w:t>劳务人员合同到期终止或因其他原因被退回时，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 w:eastAsia="zh-CN"/>
              </w:rPr>
              <w:t>服务机构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/>
              </w:rPr>
              <w:t>可提供妥善安置被退回人员的详细方案得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</w:rPr>
              <w:t>5分，否则不得分。</w:t>
            </w:r>
          </w:p>
        </w:tc>
        <w:tc>
          <w:tcPr>
            <w:tcW w:w="5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0FD1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/>
                <w:b/>
                <w:bCs/>
                <w:color w:val="auto"/>
                <w:sz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</w:rPr>
              <w:t>10</w:t>
            </w:r>
          </w:p>
        </w:tc>
      </w:tr>
      <w:tr w14:paraId="265CE6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21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9A76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 w:cs="宋体"/>
                <w:b/>
                <w:color w:val="auto"/>
                <w:kern w:val="0"/>
                <w:sz w:val="24"/>
              </w:rPr>
            </w:pPr>
          </w:p>
        </w:tc>
        <w:tc>
          <w:tcPr>
            <w:tcW w:w="7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79F9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 w:cs="宋体"/>
                <w:b/>
                <w:color w:val="auto"/>
                <w:kern w:val="0"/>
                <w:sz w:val="24"/>
              </w:rPr>
            </w:pPr>
          </w:p>
        </w:tc>
        <w:tc>
          <w:tcPr>
            <w:tcW w:w="35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2F9569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ascii="宋体" w:hAnsi="宋体"/>
                <w:b/>
                <w:bCs/>
                <w:color w:val="auto"/>
                <w:szCs w:val="21"/>
                <w:lang w:val="en-GB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  <w:lang w:val="en-GB"/>
              </w:rPr>
              <w:t>认证资质服务：</w:t>
            </w:r>
          </w:p>
          <w:p w14:paraId="6BC161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/>
              </w:rPr>
              <w:t>为了减少或避免发生劳动仲裁、诉讼等事件，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 w:eastAsia="zh-CN"/>
              </w:rPr>
              <w:t>服务机构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/>
              </w:rPr>
              <w:t>在服务行业有获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 w:eastAsia="zh-CN"/>
              </w:rPr>
              <w:t>市级或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/>
              </w:rPr>
              <w:t>省级荣誉奖项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 w:eastAsia="zh-CN"/>
              </w:rPr>
              <w:t>，如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/>
              </w:rPr>
              <w:t>文明诚信、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 w:eastAsia="zh-CN"/>
              </w:rPr>
              <w:t>优秀服务企业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/>
              </w:rPr>
              <w:t>、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 w:eastAsia="zh-CN"/>
              </w:rPr>
              <w:t>人力资源服务机构等级认证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/>
              </w:rPr>
              <w:t>等。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US" w:eastAsia="zh-CN"/>
              </w:rPr>
              <w:t>具体如下：</w:t>
            </w:r>
          </w:p>
          <w:p w14:paraId="242FD0B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lang w:val="en-GB" w:eastAsia="zh-CN" w:bidi="ar-SA"/>
              </w:rPr>
              <w:t>①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/>
              </w:rPr>
              <w:t>奖项须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 w:val="21"/>
                <w:szCs w:val="21"/>
                <w:lang w:val="en-US" w:eastAsia="zh-CN" w:bidi="ar-SA"/>
              </w:rPr>
              <w:t>由政府部门、人社部门、市场监管部门或经备案的人力资源行业协会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/>
              </w:rPr>
              <w:t>颁发；</w:t>
            </w:r>
          </w:p>
          <w:p w14:paraId="0B4B0941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/>
              </w:rPr>
              <w:t>②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/>
              </w:rPr>
              <w:t>省级及以上每项5分，市级每项3分，满分15分。</w:t>
            </w:r>
          </w:p>
        </w:tc>
        <w:tc>
          <w:tcPr>
            <w:tcW w:w="5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03B3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 w:cs="宋体"/>
                <w:b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</w:rPr>
              <w:t>15</w:t>
            </w:r>
          </w:p>
        </w:tc>
      </w:tr>
      <w:tr w14:paraId="7DA8F8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  <w:jc w:val="center"/>
        </w:trPr>
        <w:tc>
          <w:tcPr>
            <w:tcW w:w="21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1599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 w:cs="宋体"/>
                <w:b/>
                <w:color w:val="auto"/>
                <w:kern w:val="0"/>
                <w:sz w:val="24"/>
              </w:rPr>
            </w:pPr>
          </w:p>
        </w:tc>
        <w:tc>
          <w:tcPr>
            <w:tcW w:w="7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CF91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 w:cs="宋体"/>
                <w:b/>
                <w:color w:val="auto"/>
                <w:kern w:val="0"/>
                <w:sz w:val="24"/>
              </w:rPr>
            </w:pPr>
          </w:p>
        </w:tc>
        <w:tc>
          <w:tcPr>
            <w:tcW w:w="35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9D114C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ascii="宋体" w:hAnsi="宋体"/>
                <w:b/>
                <w:bCs/>
                <w:color w:val="auto"/>
                <w:szCs w:val="21"/>
                <w:lang w:val="en-GB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  <w:lang w:val="en-GB"/>
              </w:rPr>
              <w:t>日常管理服务</w:t>
            </w:r>
            <w:r>
              <w:rPr>
                <w:rFonts w:hint="eastAsia" w:ascii="宋体" w:hAnsi="宋体"/>
                <w:b/>
                <w:bCs/>
                <w:color w:val="auto"/>
                <w:szCs w:val="21"/>
              </w:rPr>
              <w:t>：</w:t>
            </w:r>
          </w:p>
          <w:p w14:paraId="2FFD59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宋体" w:hAnsi="宋体" w:cs="宋体"/>
                <w:bCs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/>
              </w:rPr>
              <w:t>根据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 w:eastAsia="zh-CN"/>
              </w:rPr>
              <w:t>服务机构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/>
              </w:rPr>
              <w:t>提供的日常管理服务方案中完整服务质量控制体系、人员培训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US" w:eastAsia="zh-CN"/>
              </w:rPr>
              <w:t>方案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/>
              </w:rPr>
              <w:t>、劳动合同/薪酬/社保管理规范、工伤/劳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US" w:eastAsia="zh-CN"/>
              </w:rPr>
              <w:t>务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/>
              </w:rPr>
              <w:t>纠纷应急机制、服务承诺与考核机制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US" w:eastAsia="zh-CN"/>
              </w:rPr>
              <w:t>等进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/>
              </w:rPr>
              <w:t>行综合分析比较评分。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US" w:eastAsia="zh-CN"/>
              </w:rPr>
              <w:t>具体如下：</w:t>
            </w:r>
          </w:p>
          <w:p w14:paraId="1BC8E157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lang w:val="en-GB" w:eastAsia="zh-CN" w:bidi="ar-SA"/>
              </w:rPr>
              <w:t>①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/>
              </w:rPr>
              <w:t>完整服务质量控制体系（2分）</w:t>
            </w:r>
          </w:p>
          <w:p w14:paraId="3D205ED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ascii="宋体" w:hAnsi="宋体"/>
                <w:b/>
                <w:bCs/>
                <w:color w:val="auto"/>
                <w:szCs w:val="21"/>
                <w:lang w:val="en-GB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/>
              </w:rPr>
              <w:t>② 人员培训方案（2分）</w:t>
            </w:r>
          </w:p>
          <w:p w14:paraId="2991599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ascii="宋体" w:hAnsi="宋体"/>
                <w:b/>
                <w:bCs/>
                <w:color w:val="auto"/>
                <w:szCs w:val="21"/>
                <w:lang w:val="en-GB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/>
              </w:rPr>
              <w:t>③ 劳动合同/薪酬/社保管理规范（2分）</w:t>
            </w:r>
          </w:p>
          <w:p w14:paraId="7D7D70D0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ascii="宋体" w:hAnsi="宋体"/>
                <w:b/>
                <w:bCs/>
                <w:color w:val="auto"/>
                <w:szCs w:val="21"/>
                <w:lang w:val="en-GB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/>
              </w:rPr>
              <w:t>④ 工伤/劳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highlight w:val="none"/>
                <w:lang w:val="en-US" w:eastAsia="zh-CN"/>
              </w:rPr>
              <w:t>务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highlight w:val="none"/>
                <w:lang w:val="en-GB"/>
              </w:rPr>
              <w:t>纠纷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/>
              </w:rPr>
              <w:t>应急机制（2分）</w:t>
            </w:r>
          </w:p>
          <w:p w14:paraId="374578D0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ascii="宋体" w:hAnsi="宋体"/>
                <w:b/>
                <w:bCs/>
                <w:color w:val="auto"/>
                <w:szCs w:val="21"/>
                <w:lang w:val="en-GB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/>
              </w:rPr>
              <w:t>⑤ 服务承诺与考核机制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US" w:eastAsia="zh-CN"/>
              </w:rPr>
              <w:t>等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/>
              </w:rPr>
              <w:t>（2分）</w:t>
            </w:r>
          </w:p>
          <w:p w14:paraId="64DDF113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ascii="宋体" w:hAnsi="宋体"/>
                <w:b/>
                <w:bCs/>
                <w:color w:val="auto"/>
                <w:szCs w:val="21"/>
                <w:lang w:val="en-GB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/>
              </w:rPr>
              <w:t>缺一项不得该项分</w:t>
            </w:r>
          </w:p>
        </w:tc>
        <w:tc>
          <w:tcPr>
            <w:tcW w:w="5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42E4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 w:cs="宋体"/>
                <w:b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</w:rPr>
              <w:t>10</w:t>
            </w:r>
          </w:p>
        </w:tc>
      </w:tr>
      <w:tr w14:paraId="3BCFDA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21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6645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 w:cs="宋体"/>
                <w:b/>
                <w:color w:val="auto"/>
                <w:kern w:val="0"/>
                <w:sz w:val="24"/>
              </w:rPr>
            </w:pPr>
          </w:p>
        </w:tc>
        <w:tc>
          <w:tcPr>
            <w:tcW w:w="7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E946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 w:cs="宋体"/>
                <w:b/>
                <w:color w:val="auto"/>
                <w:kern w:val="0"/>
                <w:sz w:val="24"/>
              </w:rPr>
            </w:pPr>
          </w:p>
        </w:tc>
        <w:tc>
          <w:tcPr>
            <w:tcW w:w="35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5E2056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ascii="宋体" w:hAnsi="宋体"/>
                <w:b/>
                <w:bCs/>
                <w:color w:val="auto"/>
                <w:szCs w:val="21"/>
                <w:lang w:val="en-GB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</w:rPr>
              <w:t>4、</w:t>
            </w:r>
            <w:r>
              <w:rPr>
                <w:rFonts w:hint="eastAsia" w:ascii="宋体" w:hAnsi="宋体"/>
                <w:b/>
                <w:bCs/>
                <w:color w:val="auto"/>
                <w:szCs w:val="21"/>
                <w:lang w:val="en-GB"/>
              </w:rPr>
              <w:t>企业文化建设及</w:t>
            </w:r>
            <w:r>
              <w:rPr>
                <w:rFonts w:hint="eastAsia" w:ascii="宋体" w:hAnsi="宋体"/>
                <w:b/>
                <w:bCs/>
                <w:color w:val="auto"/>
                <w:szCs w:val="21"/>
                <w:lang w:val="en-GB" w:eastAsia="zh-CN"/>
              </w:rPr>
              <w:t>认同</w:t>
            </w:r>
            <w:r>
              <w:rPr>
                <w:rFonts w:hint="eastAsia" w:ascii="宋体" w:hAnsi="宋体"/>
                <w:b/>
                <w:bCs/>
                <w:color w:val="auto"/>
                <w:szCs w:val="21"/>
                <w:lang w:val="en-GB"/>
              </w:rPr>
              <w:t>服务：</w:t>
            </w:r>
          </w:p>
          <w:p w14:paraId="71B50F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ascii="宋体" w:hAnsi="宋体"/>
                <w:b/>
                <w:bCs/>
                <w:color w:val="auto"/>
                <w:szCs w:val="21"/>
                <w:lang w:val="en-GB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 w:eastAsia="zh-CN"/>
              </w:rPr>
              <w:t>服务机构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/>
              </w:rPr>
              <w:t>有自身的党团、工会组织，能及时开展对派遣人员的各项党务、工会活动</w:t>
            </w:r>
            <w:r>
              <w:rPr>
                <w:rFonts w:hint="eastAsia" w:ascii="宋体" w:hAnsi="宋体"/>
                <w:b/>
                <w:bCs/>
                <w:color w:val="auto"/>
                <w:szCs w:val="21"/>
                <w:lang w:val="en-GB"/>
              </w:rPr>
              <w:t>（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/>
              </w:rPr>
              <w:t>提供往期开展活动的案例及证明具有工会、党支部组织的相关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 w:eastAsia="zh-CN"/>
              </w:rPr>
              <w:t>文件或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/>
              </w:rPr>
              <w:t>材料）。分别提供一份证明材料得5分，满分10分。</w:t>
            </w:r>
          </w:p>
        </w:tc>
        <w:tc>
          <w:tcPr>
            <w:tcW w:w="5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7B2D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 w:cs="宋体"/>
                <w:b/>
                <w:bCs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</w:rPr>
              <w:t>10</w:t>
            </w:r>
          </w:p>
        </w:tc>
      </w:tr>
      <w:tr w14:paraId="2B230F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" w:hRule="atLeast"/>
          <w:jc w:val="center"/>
        </w:trPr>
        <w:tc>
          <w:tcPr>
            <w:tcW w:w="2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106C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 w:cs="宋体"/>
                <w:b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</w:rPr>
              <w:t>3</w:t>
            </w:r>
          </w:p>
        </w:tc>
        <w:tc>
          <w:tcPr>
            <w:tcW w:w="7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6960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cs="宋体"/>
                <w:b/>
                <w:color w:val="auto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  <w:lang w:eastAsia="zh-CN"/>
              </w:rPr>
              <w:t>业绩</w:t>
            </w:r>
          </w:p>
          <w:p w14:paraId="1A3B49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 w:cs="宋体"/>
                <w:b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</w:rPr>
              <w:t>（20分）</w:t>
            </w:r>
          </w:p>
        </w:tc>
        <w:tc>
          <w:tcPr>
            <w:tcW w:w="35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0D24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0"/>
                <w:szCs w:val="21"/>
                <w:lang w:val="en-GB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Cs w:val="21"/>
                <w:lang w:val="en-GB"/>
              </w:rPr>
              <w:t>2023年1月1日以来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GB" w:eastAsia="zh-CN"/>
              </w:rPr>
              <w:t>，</w:t>
            </w:r>
            <w:r>
              <w:rPr>
                <w:rFonts w:hint="eastAsia" w:ascii="宋体" w:hAnsi="宋体" w:eastAsia="宋体" w:cs="宋体"/>
                <w:bCs/>
                <w:color w:val="auto"/>
                <w:kern w:val="0"/>
                <w:szCs w:val="21"/>
                <w:lang w:val="en-GB"/>
              </w:rPr>
              <w:t>具有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US" w:eastAsia="zh-CN"/>
              </w:rPr>
              <w:t>二</w:t>
            </w:r>
            <w:r>
              <w:rPr>
                <w:rFonts w:hint="eastAsia" w:ascii="宋体" w:hAnsi="宋体" w:eastAsia="宋体" w:cs="宋体"/>
                <w:bCs/>
                <w:color w:val="auto"/>
                <w:kern w:val="0"/>
                <w:szCs w:val="21"/>
                <w:lang w:val="en-GB"/>
              </w:rPr>
              <w:t>级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US" w:eastAsia="zh-CN"/>
              </w:rPr>
              <w:t>及以上</w:t>
            </w:r>
            <w:r>
              <w:rPr>
                <w:rFonts w:hint="eastAsia" w:ascii="宋体" w:hAnsi="宋体" w:eastAsia="宋体" w:cs="宋体"/>
                <w:bCs/>
                <w:color w:val="auto"/>
                <w:kern w:val="0"/>
                <w:szCs w:val="21"/>
                <w:lang w:val="en-GB"/>
              </w:rPr>
              <w:t>医院劳务派遣/外包业绩：</w:t>
            </w:r>
          </w:p>
          <w:p w14:paraId="046313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ascii="宋体" w:hAnsi="宋体" w:cs="宋体"/>
                <w:bCs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US" w:eastAsia="zh-CN"/>
              </w:rPr>
              <w:t>三级医院每提供一个</w:t>
            </w:r>
            <w:r>
              <w:rPr>
                <w:rFonts w:hint="eastAsia" w:ascii="宋体" w:hAnsi="宋体" w:eastAsia="宋体" w:cs="宋体"/>
                <w:bCs/>
                <w:color w:val="auto"/>
                <w:kern w:val="0"/>
                <w:szCs w:val="21"/>
                <w:lang w:val="en-GB"/>
              </w:rPr>
              <w:t>得5分，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lang w:val="en-US" w:eastAsia="zh-CN"/>
              </w:rPr>
              <w:t>二级医院每提供一个得3</w:t>
            </w:r>
            <w:r>
              <w:rPr>
                <w:rFonts w:hint="eastAsia" w:ascii="宋体" w:hAnsi="宋体" w:eastAsia="宋体" w:cs="宋体"/>
                <w:bCs/>
                <w:color w:val="auto"/>
                <w:kern w:val="0"/>
                <w:szCs w:val="21"/>
                <w:lang w:val="en-GB"/>
              </w:rPr>
              <w:t>分，最高20分。注：提供业绩合同</w:t>
            </w:r>
            <w:r>
              <w:rPr>
                <w:rFonts w:hint="eastAsia" w:ascii="宋体" w:hAnsi="宋体" w:eastAsia="宋体" w:cs="宋体"/>
                <w:bCs/>
                <w:color w:val="auto"/>
                <w:kern w:val="0"/>
                <w:szCs w:val="21"/>
                <w:lang w:val="en-US" w:eastAsia="zh-CN"/>
              </w:rPr>
              <w:t>复印件</w:t>
            </w:r>
            <w:r>
              <w:rPr>
                <w:rFonts w:hint="eastAsia" w:ascii="宋体" w:hAnsi="宋体" w:eastAsia="宋体" w:cs="宋体"/>
                <w:bCs/>
                <w:color w:val="auto"/>
                <w:kern w:val="0"/>
                <w:szCs w:val="21"/>
                <w:lang w:val="en-GB"/>
              </w:rPr>
              <w:t>。</w:t>
            </w:r>
          </w:p>
        </w:tc>
        <w:tc>
          <w:tcPr>
            <w:tcW w:w="5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9B3F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 w:cs="宋体"/>
                <w:b/>
                <w:bCs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</w:rPr>
              <w:t>20</w:t>
            </w:r>
          </w:p>
        </w:tc>
      </w:tr>
      <w:tr w14:paraId="526A21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" w:hRule="atLeast"/>
          <w:jc w:val="center"/>
        </w:trPr>
        <w:tc>
          <w:tcPr>
            <w:tcW w:w="2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851A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  <w:lang w:val="en-US" w:eastAsia="zh-CN"/>
              </w:rPr>
              <w:t>4</w:t>
            </w:r>
          </w:p>
        </w:tc>
        <w:tc>
          <w:tcPr>
            <w:tcW w:w="7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E1A1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lang w:val="en-US" w:eastAsia="zh-CN"/>
              </w:rPr>
              <w:t>项目人员配置</w:t>
            </w:r>
          </w:p>
          <w:p w14:paraId="6E17C4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0"/>
                <w:szCs w:val="21"/>
                <w:lang w:val="en-GB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lang w:val="en-US" w:eastAsia="zh-CN"/>
              </w:rPr>
              <w:t>（15分）</w:t>
            </w:r>
          </w:p>
        </w:tc>
        <w:tc>
          <w:tcPr>
            <w:tcW w:w="35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4396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Cs w:val="21"/>
                <w:highlight w:val="none"/>
                <w:lang w:val="en-US" w:eastAsia="zh-CN"/>
              </w:rPr>
              <w:t>提供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highlight w:val="none"/>
                <w:lang w:val="en-US" w:eastAsia="zh-CN"/>
              </w:rPr>
              <w:t>负责</w:t>
            </w:r>
            <w:r>
              <w:rPr>
                <w:rFonts w:hint="eastAsia" w:ascii="宋体" w:hAnsi="宋体" w:eastAsia="宋体" w:cs="宋体"/>
                <w:bCs/>
                <w:color w:val="auto"/>
                <w:kern w:val="0"/>
                <w:szCs w:val="21"/>
                <w:highlight w:val="none"/>
                <w:lang w:val="en-US" w:eastAsia="zh-CN"/>
              </w:rPr>
              <w:t>本项目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highlight w:val="none"/>
                <w:lang w:val="en-US" w:eastAsia="zh-CN"/>
              </w:rPr>
              <w:t>工作</w:t>
            </w:r>
            <w:r>
              <w:rPr>
                <w:rFonts w:hint="eastAsia" w:ascii="宋体" w:hAnsi="宋体" w:eastAsia="宋体" w:cs="宋体"/>
                <w:bCs/>
                <w:color w:val="auto"/>
                <w:kern w:val="0"/>
                <w:szCs w:val="21"/>
                <w:highlight w:val="none"/>
                <w:lang w:val="en-US" w:eastAsia="zh-CN"/>
              </w:rPr>
              <w:t>人员证书：</w:t>
            </w:r>
          </w:p>
          <w:p w14:paraId="50F2FC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Cs w:val="21"/>
                <w:highlight w:val="none"/>
                <w:lang w:val="en-US" w:eastAsia="zh-CN"/>
              </w:rPr>
              <w:t>① 一级/二级人力资源管理师：每人5分；</w:t>
            </w:r>
          </w:p>
          <w:p w14:paraId="191760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Cs w:val="21"/>
                <w:highlight w:val="none"/>
                <w:lang w:val="en-US" w:eastAsia="zh-CN"/>
              </w:rPr>
              <w:t>② 三级/四级人力资源管理师：每人2分；最高15分。</w:t>
            </w:r>
          </w:p>
          <w:p w14:paraId="14B87A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宋体" w:hAnsi="宋体" w:eastAsia="宋体" w:cs="宋体"/>
                <w:bCs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Cs w:val="21"/>
                <w:highlight w:val="none"/>
                <w:lang w:val="en-US" w:eastAsia="zh-CN"/>
              </w:rPr>
              <w:t>须提供：合法有效的职业资格证书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highlight w:val="none"/>
                <w:lang w:val="en-US" w:eastAsia="zh-CN"/>
              </w:rPr>
              <w:t>、</w:t>
            </w:r>
            <w:r>
              <w:rPr>
                <w:rFonts w:hint="eastAsia" w:ascii="宋体" w:hAnsi="宋体" w:eastAsia="宋体" w:cs="宋体"/>
                <w:bCs/>
                <w:color w:val="auto"/>
                <w:kern w:val="0"/>
                <w:szCs w:val="21"/>
                <w:highlight w:val="none"/>
                <w:lang w:val="en-US" w:eastAsia="zh-CN"/>
              </w:rPr>
              <w:t>2023年以来连续3个月社保缴费证明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highlight w:val="none"/>
                <w:lang w:val="en-US" w:eastAsia="zh-CN"/>
              </w:rPr>
              <w:t>、</w:t>
            </w:r>
            <w:r>
              <w:rPr>
                <w:rFonts w:hint="eastAsia" w:ascii="宋体" w:hAnsi="宋体" w:eastAsia="宋体" w:cs="宋体"/>
                <w:bCs/>
                <w:color w:val="auto"/>
                <w:kern w:val="0"/>
                <w:szCs w:val="21"/>
                <w:highlight w:val="none"/>
                <w:lang w:val="en-US" w:eastAsia="zh-CN"/>
              </w:rPr>
              <w:t>身份证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highlight w:val="none"/>
                <w:lang w:val="en-US" w:eastAsia="zh-CN"/>
              </w:rPr>
              <w:t>复印件及负责本项目的</w:t>
            </w:r>
            <w:r>
              <w:rPr>
                <w:rFonts w:hint="eastAsia" w:ascii="宋体" w:hAnsi="宋体" w:eastAsia="宋体" w:cs="宋体"/>
                <w:bCs/>
                <w:color w:val="auto"/>
                <w:kern w:val="0"/>
                <w:szCs w:val="21"/>
                <w:highlight w:val="none"/>
                <w:lang w:val="en-US" w:eastAsia="zh-CN"/>
              </w:rPr>
              <w:t>承诺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highlight w:val="none"/>
                <w:lang w:val="en-US" w:eastAsia="zh-CN"/>
              </w:rPr>
              <w:t>函（含联系人姓名及联系电话）。</w:t>
            </w:r>
          </w:p>
        </w:tc>
        <w:tc>
          <w:tcPr>
            <w:tcW w:w="5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8385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lang w:val="en-US" w:eastAsia="zh-CN"/>
              </w:rPr>
              <w:t>15</w:t>
            </w:r>
          </w:p>
        </w:tc>
      </w:tr>
      <w:tr w14:paraId="58441F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" w:hRule="atLeast"/>
          <w:jc w:val="center"/>
        </w:trPr>
        <w:tc>
          <w:tcPr>
            <w:tcW w:w="95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A407E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 w:cs="宋体"/>
                <w:b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</w:rPr>
              <w:t>合计</w:t>
            </w:r>
          </w:p>
        </w:tc>
        <w:tc>
          <w:tcPr>
            <w:tcW w:w="35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F563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lang w:eastAsia="zh-CN"/>
              </w:rPr>
            </w:pPr>
          </w:p>
        </w:tc>
        <w:tc>
          <w:tcPr>
            <w:tcW w:w="5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3F09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 w:cs="宋体"/>
                <w:b/>
                <w:bCs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</w:rPr>
              <w:t>100</w:t>
            </w:r>
          </w:p>
        </w:tc>
      </w:tr>
    </w:tbl>
    <w:p w14:paraId="2321531A">
      <w:pPr>
        <w:spacing w:line="240" w:lineRule="exact"/>
        <w:jc w:val="center"/>
        <w:rPr>
          <w:rFonts w:ascii="黑体" w:hAnsi="仿宋" w:eastAsia="黑体" w:cs="宋体"/>
          <w:b/>
          <w:bCs/>
          <w:color w:val="auto"/>
          <w:kern w:val="0"/>
          <w:sz w:val="44"/>
          <w:szCs w:val="44"/>
        </w:rPr>
      </w:pPr>
    </w:p>
    <w:p w14:paraId="5F01BEDC">
      <w:pPr>
        <w:rPr>
          <w:color w:val="auto"/>
        </w:rPr>
      </w:pPr>
    </w:p>
    <w:p w14:paraId="5C667601"/>
    <w:sectPr>
      <w:pgSz w:w="11906" w:h="16838"/>
      <w:pgMar w:top="2098" w:right="1474" w:bottom="1984" w:left="1587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03D7FAB-FABC-420C-B41F-CC1DD40C87D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22D70F07-4B31-4973-9486-8D20A455AEBC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7D087CC2-8450-4D8A-A55C-BA1932112CA8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8DB3C444-336B-4F93-92D6-BA23F7A8D764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2DADBD8E-C7A0-4E41-B40E-292EC6A080DF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94912E"/>
    <w:multiLevelType w:val="singleLevel"/>
    <w:tmpl w:val="A294912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D93A55"/>
    <w:rsid w:val="0F8B5225"/>
    <w:rsid w:val="17ED2B5E"/>
    <w:rsid w:val="1FD93A55"/>
    <w:rsid w:val="286767EF"/>
    <w:rsid w:val="287A24BD"/>
    <w:rsid w:val="349E2537"/>
    <w:rsid w:val="4CC774DB"/>
    <w:rsid w:val="7E563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2026-07-24T01:09:00Z</dcterms:created>
  <dc:creator>李星晨</dc:creator>
  <cp:lastModifiedBy>李星晨</cp:lastModifiedBy>
  <dcterms:modified xsi:type="dcterms:W3CDTF">2026-07-24T01:10:23Z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E5D6A867D843496C90C3356E38AA2D7A_11</vt:lpwstr>
  </property>
  <property fmtid="{D5CDD505-2E9C-101B-9397-08002B2CF9AE}" pid="4" name="KSOTemplateDocerSaveRecord">
    <vt:lpwstr>eyJoZGlkIjoiY2Y4MGE4YzM1OWQ5ZmViMTQ3NjRjYTg4M2UyNDFiZmUiLCJ1c2VySWQiOiIzNzg1MTMyNTgifQ==</vt:lpwstr>
  </property>
</Properties>
</file>